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CEE26" w14:textId="493153E4" w:rsidR="00F95DB5" w:rsidRDefault="00F95DB5" w:rsidP="00F95DB5">
      <w:pPr>
        <w:rPr>
          <w:rFonts w:ascii="Calibri" w:hAnsi="Calibri" w:cs="Calibri"/>
          <w:b/>
          <w:bCs/>
          <w:sz w:val="32"/>
          <w:szCs w:val="32"/>
        </w:rPr>
      </w:pPr>
      <w:r w:rsidRPr="00F95DB5">
        <w:rPr>
          <w:rFonts w:ascii="Calibri" w:hAnsi="Calibri" w:cs="Calibri"/>
          <w:b/>
          <w:bCs/>
          <w:sz w:val="32"/>
          <w:szCs w:val="32"/>
        </w:rPr>
        <w:t>Informace k zásadám spolupráce s</w:t>
      </w:r>
      <w:r>
        <w:rPr>
          <w:rFonts w:ascii="Calibri" w:hAnsi="Calibri" w:cs="Calibri"/>
          <w:b/>
          <w:bCs/>
          <w:sz w:val="32"/>
          <w:szCs w:val="32"/>
        </w:rPr>
        <w:t> </w:t>
      </w:r>
      <w:r w:rsidRPr="00F95DB5">
        <w:rPr>
          <w:rFonts w:ascii="Calibri" w:hAnsi="Calibri" w:cs="Calibri"/>
          <w:b/>
          <w:bCs/>
          <w:sz w:val="32"/>
          <w:szCs w:val="32"/>
        </w:rPr>
        <w:t>investory</w:t>
      </w:r>
    </w:p>
    <w:p w14:paraId="439CCC54" w14:textId="77777777" w:rsidR="00F95DB5" w:rsidRPr="00F95DB5" w:rsidRDefault="00F95DB5" w:rsidP="00F95DB5">
      <w:pPr>
        <w:rPr>
          <w:rFonts w:ascii="Calibri" w:hAnsi="Calibri" w:cs="Calibri"/>
          <w:b/>
          <w:bCs/>
          <w:sz w:val="32"/>
          <w:szCs w:val="32"/>
        </w:rPr>
      </w:pPr>
    </w:p>
    <w:p w14:paraId="33E8DAE8" w14:textId="77777777" w:rsidR="00F95DB5" w:rsidRPr="004D77A2" w:rsidRDefault="00F95DB5" w:rsidP="00F95DB5">
      <w:pPr>
        <w:rPr>
          <w:rFonts w:ascii="Calibri" w:hAnsi="Calibri" w:cs="Calibri"/>
          <w:sz w:val="22"/>
          <w:szCs w:val="22"/>
        </w:rPr>
      </w:pPr>
      <w:r w:rsidRPr="004D77A2">
        <w:rPr>
          <w:rFonts w:ascii="Calibri" w:hAnsi="Calibri" w:cs="Calibri"/>
          <w:sz w:val="22"/>
          <w:szCs w:val="22"/>
        </w:rPr>
        <w:t xml:space="preserve">V souvislosti s rozvojem území na ul. Josefa </w:t>
      </w:r>
      <w:proofErr w:type="spellStart"/>
      <w:r w:rsidRPr="004D77A2">
        <w:rPr>
          <w:rFonts w:ascii="Calibri" w:hAnsi="Calibri" w:cs="Calibri"/>
          <w:sz w:val="22"/>
          <w:szCs w:val="22"/>
        </w:rPr>
        <w:t>Šurala</w:t>
      </w:r>
      <w:proofErr w:type="spellEnd"/>
      <w:r w:rsidRPr="004D77A2">
        <w:rPr>
          <w:rFonts w:ascii="Calibri" w:hAnsi="Calibri" w:cs="Calibri"/>
          <w:sz w:val="22"/>
          <w:szCs w:val="22"/>
        </w:rPr>
        <w:t xml:space="preserve"> a ul.</w:t>
      </w:r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D77A2">
        <w:rPr>
          <w:rFonts w:ascii="Calibri" w:hAnsi="Calibri" w:cs="Calibri"/>
          <w:sz w:val="22"/>
          <w:szCs w:val="22"/>
        </w:rPr>
        <w:t>Strachotínská</w:t>
      </w:r>
      <w:proofErr w:type="spellEnd"/>
      <w:r w:rsidRPr="004D77A2">
        <w:rPr>
          <w:rFonts w:ascii="Calibri" w:hAnsi="Calibri" w:cs="Calibri"/>
          <w:sz w:val="22"/>
          <w:szCs w:val="22"/>
        </w:rPr>
        <w:t xml:space="preserve"> obec realizovala technickou a dopravní infrastrukturu, která je nezbytná pro umožnění budoucí výstavby. Tyto zásady stanovují transparentní a nediskriminační rámec spolupráce mezi obcí a jednotlivými investory. Celkové náklady na vybudování technické a dopravní infrastruktury činily 16 885 711,50 Kč. Průměrné náklady na jeden stavební pozemek činí 291 132,94 Kč. Obec se rozhodla stanovit investiční příspěvek nižší</w:t>
      </w:r>
      <w:r>
        <w:rPr>
          <w:rFonts w:ascii="Calibri" w:hAnsi="Calibri" w:cs="Calibri"/>
          <w:sz w:val="22"/>
          <w:szCs w:val="22"/>
        </w:rPr>
        <w:t>,</w:t>
      </w:r>
      <w:r w:rsidRPr="004D77A2">
        <w:rPr>
          <w:rFonts w:ascii="Calibri" w:hAnsi="Calibri" w:cs="Calibri"/>
          <w:sz w:val="22"/>
          <w:szCs w:val="22"/>
        </w:rPr>
        <w:t xml:space="preserve"> a to s ohledem na následující skutečnosti: podpora dostupnosti bydlení a realizace výstavby, snaha o přiměřené a akceptovatelné zatížení investorů, zachování atraktivity rozvojových lokalit. Z těchto důvodů byla zvolena forma procentuální spol</w:t>
      </w:r>
      <w:r>
        <w:rPr>
          <w:rFonts w:ascii="Calibri" w:hAnsi="Calibri" w:cs="Calibri"/>
          <w:sz w:val="22"/>
          <w:szCs w:val="22"/>
        </w:rPr>
        <w:t>u</w:t>
      </w:r>
      <w:r w:rsidRPr="004D77A2">
        <w:rPr>
          <w:rFonts w:ascii="Calibri" w:hAnsi="Calibri" w:cs="Calibri"/>
          <w:sz w:val="22"/>
          <w:szCs w:val="22"/>
        </w:rPr>
        <w:t>účasti investorů na nákladech obce ve výši 32,61</w:t>
      </w:r>
      <w:r>
        <w:rPr>
          <w:rFonts w:ascii="Calibri" w:hAnsi="Calibri" w:cs="Calibri"/>
          <w:sz w:val="22"/>
          <w:szCs w:val="22"/>
        </w:rPr>
        <w:t xml:space="preserve"> </w:t>
      </w:r>
      <w:r w:rsidRPr="004D77A2">
        <w:rPr>
          <w:rFonts w:ascii="Calibri" w:hAnsi="Calibri" w:cs="Calibri"/>
          <w:sz w:val="22"/>
          <w:szCs w:val="22"/>
        </w:rPr>
        <w:t xml:space="preserve">%. Výše investičního příspěvku pro rok 2026 činí 95 000 Kč/parcela. </w:t>
      </w:r>
    </w:p>
    <w:p w14:paraId="0722CB7A" w14:textId="77777777" w:rsidR="00F95DB5" w:rsidRPr="004D77A2" w:rsidRDefault="00F95DB5" w:rsidP="00F95DB5">
      <w:pPr>
        <w:rPr>
          <w:rFonts w:ascii="Calibri" w:hAnsi="Calibri" w:cs="Calibri"/>
          <w:sz w:val="22"/>
          <w:szCs w:val="22"/>
        </w:rPr>
      </w:pPr>
      <w:r w:rsidRPr="004D77A2">
        <w:rPr>
          <w:rFonts w:ascii="Calibri" w:hAnsi="Calibri" w:cs="Calibri"/>
          <w:sz w:val="22"/>
          <w:szCs w:val="22"/>
        </w:rPr>
        <w:t>S účinností od 1.3.2027 se sazba každoročně automaticky navyšuje o roční míru inflace vyjádřenou přírůstkem průměrného ročního indexu spotřebitelských cen za uplynulý kalendářní rok, zveřejněnou Českým statistickým úřadem. Je-li hodnota roční míry inflace záporná, sazba se nesnižuje.</w:t>
      </w:r>
    </w:p>
    <w:p w14:paraId="5CE4CEF3" w14:textId="77777777" w:rsidR="00F95DB5" w:rsidRPr="004D77A2" w:rsidRDefault="00F95DB5" w:rsidP="00F95DB5">
      <w:pPr>
        <w:rPr>
          <w:rFonts w:ascii="Calibri" w:hAnsi="Calibri" w:cs="Calibri"/>
          <w:sz w:val="22"/>
          <w:szCs w:val="22"/>
        </w:rPr>
      </w:pPr>
      <w:r w:rsidRPr="004D77A2">
        <w:rPr>
          <w:rFonts w:ascii="Calibri" w:hAnsi="Calibri" w:cs="Calibri"/>
          <w:sz w:val="22"/>
          <w:szCs w:val="22"/>
        </w:rPr>
        <w:t xml:space="preserve">1/Stavebníci, kteří již mají postaveno, obdrželi stavební povolení, případně mají rozestavěnou stavbu – na ně se vztahuje </w:t>
      </w:r>
      <w:r w:rsidRPr="004D77A2">
        <w:rPr>
          <w:rFonts w:ascii="Calibri" w:hAnsi="Calibri" w:cs="Calibri"/>
          <w:b/>
          <w:bCs/>
          <w:sz w:val="22"/>
          <w:szCs w:val="22"/>
        </w:rPr>
        <w:t>Smlouva o poskytnutí příspěvku na náklady technické a dopravní infrastruktury</w:t>
      </w:r>
      <w:r w:rsidRPr="004D77A2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  <w:r w:rsidRPr="004D77A2">
        <w:rPr>
          <w:rFonts w:ascii="Calibri" w:hAnsi="Calibri" w:cs="Calibri"/>
          <w:sz w:val="22"/>
          <w:szCs w:val="22"/>
        </w:rPr>
        <w:t>Zde se neuzavírá plánovací smlouva. Příspěvek je splatný do 30 ti dnů od podpisu smlouvy.</w:t>
      </w:r>
    </w:p>
    <w:p w14:paraId="50E432FE" w14:textId="77777777" w:rsidR="00F95DB5" w:rsidRPr="004D77A2" w:rsidRDefault="00F95DB5" w:rsidP="00F95DB5">
      <w:pPr>
        <w:rPr>
          <w:rFonts w:ascii="Calibri" w:hAnsi="Calibri" w:cs="Calibri"/>
          <w:sz w:val="22"/>
          <w:szCs w:val="22"/>
        </w:rPr>
      </w:pPr>
      <w:r w:rsidRPr="004D77A2">
        <w:rPr>
          <w:rFonts w:ascii="Calibri" w:hAnsi="Calibri" w:cs="Calibri"/>
          <w:sz w:val="22"/>
          <w:szCs w:val="22"/>
        </w:rPr>
        <w:t xml:space="preserve">2/Stavebníci, kteří již chtějí stavět, vyřizují si stavební povolení, uzavřou s obcí </w:t>
      </w:r>
      <w:r w:rsidRPr="004D77A2">
        <w:rPr>
          <w:rFonts w:ascii="Calibri" w:hAnsi="Calibri" w:cs="Calibri"/>
          <w:b/>
          <w:bCs/>
          <w:sz w:val="22"/>
          <w:szCs w:val="22"/>
        </w:rPr>
        <w:t xml:space="preserve">Plánovací smlouvu k povolení záměru.  </w:t>
      </w:r>
      <w:r w:rsidRPr="004D77A2">
        <w:rPr>
          <w:rFonts w:ascii="Calibri" w:hAnsi="Calibri" w:cs="Calibri"/>
          <w:sz w:val="22"/>
          <w:szCs w:val="22"/>
        </w:rPr>
        <w:t>Zde se určí forma plnění, tzn. Peněžní nebo nepeněžní plnění.</w:t>
      </w:r>
    </w:p>
    <w:p w14:paraId="5D8517A2" w14:textId="77777777" w:rsidR="00F95DB5" w:rsidRPr="004D77A2" w:rsidRDefault="00F95DB5" w:rsidP="00F95DB5">
      <w:pPr>
        <w:rPr>
          <w:rFonts w:ascii="Calibri" w:hAnsi="Calibri" w:cs="Calibri"/>
          <w:sz w:val="22"/>
          <w:szCs w:val="22"/>
        </w:rPr>
      </w:pPr>
      <w:r w:rsidRPr="004D77A2">
        <w:rPr>
          <w:rFonts w:ascii="Calibri" w:hAnsi="Calibri" w:cs="Calibri"/>
          <w:sz w:val="22"/>
          <w:szCs w:val="22"/>
        </w:rPr>
        <w:t xml:space="preserve">3/Stavebníci, kteří v nejbližší době neplánují stavět a chtějí </w:t>
      </w:r>
      <w:proofErr w:type="spellStart"/>
      <w:r w:rsidRPr="004D77A2">
        <w:rPr>
          <w:rFonts w:ascii="Calibri" w:hAnsi="Calibri" w:cs="Calibri"/>
          <w:sz w:val="22"/>
          <w:szCs w:val="22"/>
        </w:rPr>
        <w:t>inv</w:t>
      </w:r>
      <w:proofErr w:type="spellEnd"/>
      <w:r w:rsidRPr="004D77A2">
        <w:rPr>
          <w:rFonts w:ascii="Calibri" w:hAnsi="Calibri" w:cs="Calibri"/>
          <w:sz w:val="22"/>
          <w:szCs w:val="22"/>
        </w:rPr>
        <w:t xml:space="preserve">. příspěvek zaplatit nyní, aby v budoucnu nemuseli platit víc-inflace: uzavřou </w:t>
      </w:r>
      <w:r w:rsidRPr="004D77A2">
        <w:rPr>
          <w:rFonts w:ascii="Calibri" w:hAnsi="Calibri" w:cs="Calibri"/>
          <w:b/>
          <w:bCs/>
          <w:sz w:val="22"/>
          <w:szCs w:val="22"/>
          <w:u w:val="single"/>
        </w:rPr>
        <w:t xml:space="preserve">Smlouvu o smlouvě budoucí plánovací se zálohou na investiční příspěvek. </w:t>
      </w:r>
      <w:r w:rsidRPr="004D77A2">
        <w:rPr>
          <w:rFonts w:ascii="Calibri" w:hAnsi="Calibri" w:cs="Calibri"/>
          <w:sz w:val="22"/>
          <w:szCs w:val="22"/>
        </w:rPr>
        <w:t>Zde se určí forma plnění, tzn. peněžní nebo nepeněžní plnění.</w:t>
      </w:r>
    </w:p>
    <w:p w14:paraId="55E88821" w14:textId="77777777" w:rsidR="00F95DB5" w:rsidRPr="004D77A2" w:rsidRDefault="00F95DB5" w:rsidP="00F95DB5">
      <w:pPr>
        <w:rPr>
          <w:rFonts w:ascii="Calibri" w:hAnsi="Calibri" w:cs="Calibri"/>
          <w:sz w:val="22"/>
          <w:szCs w:val="22"/>
        </w:rPr>
      </w:pPr>
    </w:p>
    <w:p w14:paraId="54BB3181" w14:textId="77777777" w:rsidR="00F95DB5" w:rsidRPr="004D77A2" w:rsidRDefault="00F95DB5" w:rsidP="00F95DB5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2C6701B3" w14:textId="77777777" w:rsidR="00F95DB5" w:rsidRPr="004D77A2" w:rsidRDefault="00F95DB5" w:rsidP="00F95DB5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4D77A2">
        <w:rPr>
          <w:rFonts w:ascii="Calibri" w:hAnsi="Calibri" w:cs="Calibri"/>
          <w:sz w:val="22"/>
          <w:szCs w:val="22"/>
        </w:rPr>
        <w:t xml:space="preserve">4/Stavebníci, kteří v nejbližší době neplánují stavět a nechtějí </w:t>
      </w:r>
      <w:proofErr w:type="spellStart"/>
      <w:r w:rsidRPr="004D77A2">
        <w:rPr>
          <w:rFonts w:ascii="Calibri" w:hAnsi="Calibri" w:cs="Calibri"/>
          <w:sz w:val="22"/>
          <w:szCs w:val="22"/>
        </w:rPr>
        <w:t>inv</w:t>
      </w:r>
      <w:proofErr w:type="spellEnd"/>
      <w:r w:rsidRPr="004D77A2">
        <w:rPr>
          <w:rFonts w:ascii="Calibri" w:hAnsi="Calibri" w:cs="Calibri"/>
          <w:sz w:val="22"/>
          <w:szCs w:val="22"/>
        </w:rPr>
        <w:t xml:space="preserve">. příspěvek zaplatit nyní a počítají s tím, že zaplatí víc – </w:t>
      </w:r>
      <w:proofErr w:type="spellStart"/>
      <w:r w:rsidRPr="004D77A2">
        <w:rPr>
          <w:rFonts w:ascii="Calibri" w:hAnsi="Calibri" w:cs="Calibri"/>
          <w:sz w:val="22"/>
          <w:szCs w:val="22"/>
        </w:rPr>
        <w:t>inv</w:t>
      </w:r>
      <w:proofErr w:type="spellEnd"/>
      <w:r w:rsidRPr="004D77A2">
        <w:rPr>
          <w:rFonts w:ascii="Calibri" w:hAnsi="Calibri" w:cs="Calibri"/>
          <w:sz w:val="22"/>
          <w:szCs w:val="22"/>
        </w:rPr>
        <w:t xml:space="preserve">. příspěvek navýšený o míru inflace uzavřou </w:t>
      </w:r>
      <w:r w:rsidRPr="004D77A2">
        <w:rPr>
          <w:rFonts w:ascii="Calibri" w:hAnsi="Calibri" w:cs="Calibri"/>
          <w:b/>
          <w:bCs/>
          <w:sz w:val="22"/>
          <w:szCs w:val="22"/>
          <w:u w:val="single"/>
        </w:rPr>
        <w:t>Smlouvu o smlouvě budoucí plánovací bez zálohy.</w:t>
      </w:r>
    </w:p>
    <w:p w14:paraId="06B8EFB8" w14:textId="77777777" w:rsidR="00F95DB5" w:rsidRPr="004D77A2" w:rsidRDefault="00F95DB5" w:rsidP="00F95DB5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7FD12874" w14:textId="77777777" w:rsidR="00F95DB5" w:rsidRPr="004D77A2" w:rsidRDefault="00F95DB5" w:rsidP="00F95DB5">
      <w:pPr>
        <w:rPr>
          <w:rFonts w:ascii="Calibri" w:hAnsi="Calibri" w:cs="Calibri"/>
          <w:sz w:val="22"/>
          <w:szCs w:val="22"/>
          <w:u w:val="single"/>
        </w:rPr>
      </w:pPr>
      <w:r w:rsidRPr="004D77A2">
        <w:rPr>
          <w:rFonts w:ascii="Calibri" w:hAnsi="Calibri" w:cs="Calibri"/>
          <w:sz w:val="22"/>
          <w:szCs w:val="22"/>
          <w:u w:val="single"/>
        </w:rPr>
        <w:t>Investiční příspěvek lze hradit:</w:t>
      </w:r>
    </w:p>
    <w:p w14:paraId="1609D657" w14:textId="77777777" w:rsidR="00F95DB5" w:rsidRPr="004D77A2" w:rsidRDefault="00F95DB5" w:rsidP="00F95DB5">
      <w:pPr>
        <w:rPr>
          <w:rFonts w:ascii="Calibri" w:hAnsi="Calibri" w:cs="Calibri"/>
          <w:sz w:val="22"/>
          <w:szCs w:val="22"/>
          <w:u w:val="single"/>
        </w:rPr>
      </w:pPr>
    </w:p>
    <w:p w14:paraId="1270862C" w14:textId="77777777" w:rsidR="00F95DB5" w:rsidRPr="004D77A2" w:rsidRDefault="00F95DB5" w:rsidP="00F95DB5">
      <w:pPr>
        <w:rPr>
          <w:rFonts w:ascii="Calibri" w:hAnsi="Calibri" w:cs="Calibri"/>
          <w:sz w:val="22"/>
          <w:szCs w:val="22"/>
        </w:rPr>
      </w:pPr>
      <w:r w:rsidRPr="004D77A2">
        <w:rPr>
          <w:rFonts w:ascii="Calibri" w:hAnsi="Calibri" w:cs="Calibri"/>
          <w:b/>
          <w:bCs/>
          <w:sz w:val="22"/>
          <w:szCs w:val="22"/>
        </w:rPr>
        <w:t>Finančně,</w:t>
      </w:r>
      <w:r w:rsidRPr="004D77A2">
        <w:rPr>
          <w:rFonts w:ascii="Calibri" w:hAnsi="Calibri" w:cs="Calibri"/>
          <w:sz w:val="22"/>
          <w:szCs w:val="22"/>
        </w:rPr>
        <w:t xml:space="preserve"> je zde možnost jednorázově nebo ve 4 splátkách, do dvou let od podpisu smlouvy. Týká se stavebníků, kteří s obcí ještě neuzavřeli plánovací smlouvu.</w:t>
      </w:r>
    </w:p>
    <w:p w14:paraId="01D8132A" w14:textId="77777777" w:rsidR="00F95DB5" w:rsidRPr="004D77A2" w:rsidRDefault="00F95DB5" w:rsidP="00F95DB5">
      <w:pPr>
        <w:rPr>
          <w:rFonts w:ascii="Calibri" w:hAnsi="Calibri" w:cs="Calibri"/>
          <w:sz w:val="22"/>
          <w:szCs w:val="22"/>
        </w:rPr>
      </w:pPr>
      <w:r w:rsidRPr="004D77A2">
        <w:rPr>
          <w:rFonts w:ascii="Calibri" w:hAnsi="Calibri" w:cs="Calibri"/>
          <w:b/>
          <w:bCs/>
          <w:sz w:val="22"/>
          <w:szCs w:val="22"/>
        </w:rPr>
        <w:t>Nepeněžně</w:t>
      </w:r>
      <w:r w:rsidRPr="004D77A2">
        <w:rPr>
          <w:rFonts w:ascii="Calibri" w:hAnsi="Calibri" w:cs="Calibri"/>
          <w:sz w:val="22"/>
          <w:szCs w:val="22"/>
        </w:rPr>
        <w:t>: zde záleží na dohodě s obcí, směna pozemku, jiným plněním využitelným pro obec. Týká se stavebníků, kteří s obcí ještě neuzavřeli plánovací smlouvu.</w:t>
      </w:r>
    </w:p>
    <w:p w14:paraId="5963E92E" w14:textId="77777777" w:rsidR="00F95DB5" w:rsidRDefault="00F95DB5" w:rsidP="00F95DB5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66C10FFF" w14:textId="143D4B48" w:rsidR="00F95DB5" w:rsidRDefault="00F95DB5" w:rsidP="00F95DB5">
      <w:pPr>
        <w:rPr>
          <w:rFonts w:ascii="Calibri" w:hAnsi="Calibri" w:cs="Calibri"/>
          <w:b/>
          <w:bCs/>
          <w:sz w:val="22"/>
          <w:szCs w:val="22"/>
        </w:rPr>
      </w:pPr>
      <w:r w:rsidRPr="00AA7B83">
        <w:rPr>
          <w:rFonts w:ascii="Calibri" w:hAnsi="Calibri" w:cs="Calibri"/>
          <w:b/>
          <w:bCs/>
          <w:sz w:val="22"/>
          <w:szCs w:val="22"/>
        </w:rPr>
        <w:t>Zásady spolupráce s</w:t>
      </w:r>
      <w:r>
        <w:rPr>
          <w:rFonts w:ascii="Calibri" w:hAnsi="Calibri" w:cs="Calibri"/>
          <w:b/>
          <w:bCs/>
          <w:sz w:val="22"/>
          <w:szCs w:val="22"/>
        </w:rPr>
        <w:t> </w:t>
      </w:r>
      <w:r w:rsidRPr="00AA7B83">
        <w:rPr>
          <w:rFonts w:ascii="Calibri" w:hAnsi="Calibri" w:cs="Calibri"/>
          <w:b/>
          <w:bCs/>
          <w:sz w:val="22"/>
          <w:szCs w:val="22"/>
        </w:rPr>
        <w:t>investory</w:t>
      </w:r>
      <w:r>
        <w:rPr>
          <w:rFonts w:ascii="Calibri" w:hAnsi="Calibri" w:cs="Calibri"/>
          <w:b/>
          <w:bCs/>
          <w:sz w:val="22"/>
          <w:szCs w:val="22"/>
        </w:rPr>
        <w:t xml:space="preserve"> byly schváleny na veřejném zasedání dne 24.9.2026 viz. níže uvedené usnesení.</w:t>
      </w:r>
    </w:p>
    <w:p w14:paraId="61B70770" w14:textId="77777777" w:rsidR="00F95DB5" w:rsidRDefault="00F95DB5" w:rsidP="00F95DB5">
      <w:pPr>
        <w:rPr>
          <w:rFonts w:ascii="Calibri" w:hAnsi="Calibri" w:cs="Calibri"/>
          <w:b/>
          <w:bCs/>
          <w:sz w:val="22"/>
          <w:szCs w:val="22"/>
        </w:rPr>
      </w:pPr>
    </w:p>
    <w:p w14:paraId="68F56905" w14:textId="06041C5F" w:rsidR="00F95DB5" w:rsidRPr="00CC0561" w:rsidRDefault="00F95DB5" w:rsidP="00F95DB5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CC0561">
        <w:rPr>
          <w:rFonts w:ascii="Calibri" w:hAnsi="Calibri" w:cs="Calibri"/>
          <w:b/>
          <w:bCs/>
          <w:sz w:val="22"/>
          <w:szCs w:val="22"/>
          <w:u w:val="single"/>
        </w:rPr>
        <w:t xml:space="preserve">Usnesení </w:t>
      </w:r>
      <w:r>
        <w:rPr>
          <w:rFonts w:ascii="Calibri" w:hAnsi="Calibri" w:cs="Calibri"/>
          <w:b/>
          <w:bCs/>
          <w:sz w:val="22"/>
          <w:szCs w:val="22"/>
          <w:u w:val="single"/>
        </w:rPr>
        <w:t>10</w:t>
      </w:r>
      <w:r w:rsidRPr="00CC0561">
        <w:rPr>
          <w:rFonts w:ascii="Calibri" w:hAnsi="Calibri" w:cs="Calibri"/>
          <w:b/>
          <w:bCs/>
          <w:sz w:val="22"/>
          <w:szCs w:val="22"/>
          <w:u w:val="single"/>
        </w:rPr>
        <w:t>/26/Z2</w:t>
      </w:r>
      <w:r>
        <w:rPr>
          <w:rFonts w:ascii="Calibri" w:hAnsi="Calibri" w:cs="Calibri"/>
          <w:b/>
          <w:bCs/>
          <w:sz w:val="22"/>
          <w:szCs w:val="22"/>
          <w:u w:val="single"/>
        </w:rPr>
        <w:t>8</w:t>
      </w:r>
      <w:r w:rsidRPr="00CC0561">
        <w:rPr>
          <w:rFonts w:ascii="Calibri" w:hAnsi="Calibri" w:cs="Calibri"/>
          <w:b/>
          <w:bCs/>
          <w:sz w:val="22"/>
          <w:szCs w:val="22"/>
          <w:u w:val="single"/>
        </w:rPr>
        <w:t>:</w:t>
      </w:r>
    </w:p>
    <w:p w14:paraId="29CAD775" w14:textId="77777777" w:rsidR="00F95DB5" w:rsidRPr="00CC0561" w:rsidRDefault="00F95DB5" w:rsidP="00F95DB5">
      <w:pPr>
        <w:rPr>
          <w:rFonts w:ascii="Calibri" w:hAnsi="Calibri" w:cs="Calibri"/>
          <w:sz w:val="22"/>
          <w:szCs w:val="22"/>
        </w:rPr>
      </w:pPr>
      <w:r w:rsidRPr="00CC0561">
        <w:rPr>
          <w:rFonts w:ascii="Calibri" w:hAnsi="Calibri" w:cs="Calibri"/>
          <w:sz w:val="22"/>
          <w:szCs w:val="22"/>
        </w:rPr>
        <w:t xml:space="preserve">Zastupitelstvo obce Šakvice </w:t>
      </w:r>
      <w:r>
        <w:rPr>
          <w:rFonts w:ascii="Calibri" w:hAnsi="Calibri" w:cs="Calibri"/>
          <w:b/>
          <w:bCs/>
          <w:sz w:val="22"/>
          <w:szCs w:val="22"/>
        </w:rPr>
        <w:t xml:space="preserve">schvaluje </w:t>
      </w:r>
      <w:r w:rsidRPr="004D77A2">
        <w:rPr>
          <w:rFonts w:ascii="Calibri" w:hAnsi="Calibri" w:cs="Calibri"/>
          <w:sz w:val="22"/>
          <w:szCs w:val="22"/>
        </w:rPr>
        <w:t>Zásady pro spolupráci s investory na rozvoji obce Šakvice.</w:t>
      </w:r>
    </w:p>
    <w:p w14:paraId="65B879E5" w14:textId="77777777" w:rsidR="00F95DB5" w:rsidRPr="00CC0561" w:rsidRDefault="00F95DB5" w:rsidP="00F95DB5">
      <w:pPr>
        <w:rPr>
          <w:rFonts w:ascii="Calibri" w:hAnsi="Calibri" w:cs="Calibri"/>
          <w:b/>
          <w:bCs/>
          <w:sz w:val="22"/>
          <w:szCs w:val="22"/>
        </w:rPr>
      </w:pPr>
      <w:r w:rsidRPr="00CC0561">
        <w:rPr>
          <w:rFonts w:ascii="Calibri" w:hAnsi="Calibri" w:cs="Calibri"/>
          <w:b/>
          <w:sz w:val="22"/>
          <w:szCs w:val="22"/>
        </w:rPr>
        <w:t xml:space="preserve">Hlasování č. </w:t>
      </w:r>
      <w:proofErr w:type="gramStart"/>
      <w:r>
        <w:rPr>
          <w:rFonts w:ascii="Calibri" w:hAnsi="Calibri" w:cs="Calibri"/>
          <w:b/>
          <w:sz w:val="22"/>
          <w:szCs w:val="22"/>
        </w:rPr>
        <w:t>10</w:t>
      </w:r>
      <w:r w:rsidRPr="00CC0561">
        <w:rPr>
          <w:rFonts w:ascii="Calibri" w:hAnsi="Calibri" w:cs="Calibri"/>
          <w:b/>
          <w:sz w:val="22"/>
          <w:szCs w:val="22"/>
        </w:rPr>
        <w:t xml:space="preserve">:   </w:t>
      </w:r>
      <w:proofErr w:type="gramEnd"/>
      <w:r w:rsidRPr="00CC0561">
        <w:rPr>
          <w:rFonts w:ascii="Calibri" w:hAnsi="Calibri" w:cs="Calibri"/>
          <w:b/>
          <w:sz w:val="22"/>
          <w:szCs w:val="22"/>
        </w:rPr>
        <w:t xml:space="preserve"> </w:t>
      </w:r>
      <w:r w:rsidRPr="00CC0561">
        <w:rPr>
          <w:rFonts w:ascii="Calibri" w:hAnsi="Calibri" w:cs="Calibri"/>
          <w:sz w:val="22"/>
          <w:szCs w:val="22"/>
        </w:rPr>
        <w:t xml:space="preserve">  </w:t>
      </w:r>
      <w:r w:rsidRPr="00CC0561">
        <w:rPr>
          <w:rFonts w:ascii="Calibri" w:hAnsi="Calibri" w:cs="Calibri"/>
          <w:b/>
          <w:bCs/>
          <w:sz w:val="22"/>
          <w:szCs w:val="22"/>
        </w:rPr>
        <w:t xml:space="preserve">Pro 5        </w:t>
      </w:r>
      <w:proofErr w:type="gramStart"/>
      <w:r w:rsidRPr="00CC0561">
        <w:rPr>
          <w:rFonts w:ascii="Calibri" w:hAnsi="Calibri" w:cs="Calibri"/>
          <w:b/>
          <w:bCs/>
          <w:sz w:val="22"/>
          <w:szCs w:val="22"/>
        </w:rPr>
        <w:t>proti  0</w:t>
      </w:r>
      <w:proofErr w:type="gramEnd"/>
      <w:r w:rsidRPr="00CC0561">
        <w:rPr>
          <w:rFonts w:ascii="Calibri" w:hAnsi="Calibri" w:cs="Calibri"/>
          <w:b/>
          <w:bCs/>
          <w:sz w:val="22"/>
          <w:szCs w:val="22"/>
        </w:rPr>
        <w:t xml:space="preserve">         zdržel se 0</w:t>
      </w:r>
    </w:p>
    <w:p w14:paraId="6F33DCD6" w14:textId="77777777" w:rsidR="00EA5C61" w:rsidRDefault="00EA5C61"/>
    <w:sectPr w:rsidR="00EA5C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DB5"/>
    <w:rsid w:val="001819BA"/>
    <w:rsid w:val="004C14A8"/>
    <w:rsid w:val="005704FA"/>
    <w:rsid w:val="00596020"/>
    <w:rsid w:val="00EA5C61"/>
    <w:rsid w:val="00F9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7977B"/>
  <w15:chartTrackingRefBased/>
  <w15:docId w15:val="{8B517243-6891-4F4A-B6C1-6817903EA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5DB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95DB5"/>
    <w:pPr>
      <w:keepNext/>
      <w:keepLines/>
      <w:widowControl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5DB5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5DB5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5DB5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5DB5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5DB5"/>
    <w:pPr>
      <w:keepNext/>
      <w:keepLines/>
      <w:widowControl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5DB5"/>
    <w:pPr>
      <w:keepNext/>
      <w:keepLines/>
      <w:widowControl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5DB5"/>
    <w:pPr>
      <w:keepNext/>
      <w:keepLines/>
      <w:widowControl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5DB5"/>
    <w:pPr>
      <w:keepNext/>
      <w:keepLines/>
      <w:widowControl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5D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5D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5D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5DB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5DB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5DB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5DB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5DB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5DB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5DB5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F95D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5DB5"/>
    <w:pPr>
      <w:widowControl/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F95D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5DB5"/>
    <w:pPr>
      <w:widowControl/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F95DB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5DB5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F95DB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5DB5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5DB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5D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407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ous.podatelna@outlook.cz</dc:creator>
  <cp:keywords/>
  <dc:description/>
  <cp:lastModifiedBy>ous.podatelna@outlook.cz</cp:lastModifiedBy>
  <cp:revision>1</cp:revision>
  <dcterms:created xsi:type="dcterms:W3CDTF">2026-09-25T09:44:00Z</dcterms:created>
  <dcterms:modified xsi:type="dcterms:W3CDTF">2026-09-25T09:47:00Z</dcterms:modified>
</cp:coreProperties>
</file>